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52" w:rsidRDefault="004D2252" w:rsidP="004D2252">
      <w:r>
        <w:rPr>
          <w:noProof/>
          <w:lang w:eastAsia="cs-CZ"/>
        </w:rPr>
        <w:drawing>
          <wp:inline distT="0" distB="0" distL="0" distR="0">
            <wp:extent cx="8949055" cy="5909733"/>
            <wp:effectExtent l="19050" t="0" r="234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D5703" w:rsidRDefault="00FD5703" w:rsidP="00FD71D3">
      <w:pPr>
        <w:jc w:val="right"/>
      </w:pPr>
      <w:r>
        <w:rPr>
          <w:noProof/>
          <w:lang w:eastAsia="cs-CZ"/>
        </w:rPr>
        <w:lastRenderedPageBreak/>
        <w:drawing>
          <wp:inline distT="0" distB="0" distL="0" distR="0">
            <wp:extent cx="8949055" cy="5909733"/>
            <wp:effectExtent l="19050" t="0" r="234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FD5703" w:rsidRDefault="00FD5703" w:rsidP="004D2252"/>
    <w:p w:rsidR="004D2252" w:rsidRDefault="004D2252"/>
    <w:sectPr w:rsidR="004D2252" w:rsidSect="00E31E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914241"/>
    <w:rsid w:val="000D6232"/>
    <w:rsid w:val="000F769D"/>
    <w:rsid w:val="00160968"/>
    <w:rsid w:val="002623A3"/>
    <w:rsid w:val="00274517"/>
    <w:rsid w:val="004D2252"/>
    <w:rsid w:val="007146A8"/>
    <w:rsid w:val="00826CE3"/>
    <w:rsid w:val="00914241"/>
    <w:rsid w:val="009C0C97"/>
    <w:rsid w:val="00A940D5"/>
    <w:rsid w:val="00C82758"/>
    <w:rsid w:val="00C82BB5"/>
    <w:rsid w:val="00E0396E"/>
    <w:rsid w:val="00E31E6D"/>
    <w:rsid w:val="00EA6FFE"/>
    <w:rsid w:val="00FD5703"/>
    <w:rsid w:val="00FD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6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09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Průměrný prospěch v 1.pololetí 2023-2024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Průměrný prospěch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0.00</c:formatCode>
                <c:ptCount val="32"/>
                <c:pt idx="1">
                  <c:v>3.24</c:v>
                </c:pt>
                <c:pt idx="2">
                  <c:v>3.1</c:v>
                </c:pt>
                <c:pt idx="4">
                  <c:v>2.1800000000000002</c:v>
                </c:pt>
                <c:pt idx="5">
                  <c:v>2</c:v>
                </c:pt>
                <c:pt idx="6">
                  <c:v>3.25</c:v>
                </c:pt>
                <c:pt idx="7">
                  <c:v>3.72</c:v>
                </c:pt>
                <c:pt idx="8">
                  <c:v>1.75</c:v>
                </c:pt>
                <c:pt idx="9">
                  <c:v>2.5</c:v>
                </c:pt>
                <c:pt idx="10">
                  <c:v>3.5</c:v>
                </c:pt>
                <c:pt idx="11">
                  <c:v>3.16</c:v>
                </c:pt>
                <c:pt idx="12">
                  <c:v>1.56</c:v>
                </c:pt>
                <c:pt idx="13">
                  <c:v>2.0699999999999998</c:v>
                </c:pt>
                <c:pt idx="14">
                  <c:v>1.78</c:v>
                </c:pt>
                <c:pt idx="15">
                  <c:v>1.49</c:v>
                </c:pt>
                <c:pt idx="16">
                  <c:v>1.8800000000000001</c:v>
                </c:pt>
                <c:pt idx="17">
                  <c:v>2.63</c:v>
                </c:pt>
                <c:pt idx="18">
                  <c:v>1.9100000000000001</c:v>
                </c:pt>
                <c:pt idx="19">
                  <c:v>2.02</c:v>
                </c:pt>
                <c:pt idx="20">
                  <c:v>1.62</c:v>
                </c:pt>
                <c:pt idx="21">
                  <c:v>2.1800000000000002</c:v>
                </c:pt>
                <c:pt idx="22">
                  <c:v>2.8699999999999997</c:v>
                </c:pt>
                <c:pt idx="23">
                  <c:v>1.7</c:v>
                </c:pt>
                <c:pt idx="24">
                  <c:v>3.1</c:v>
                </c:pt>
                <c:pt idx="25">
                  <c:v>1.82</c:v>
                </c:pt>
                <c:pt idx="26">
                  <c:v>3.75</c:v>
                </c:pt>
                <c:pt idx="27">
                  <c:v>3.8499999999999996</c:v>
                </c:pt>
                <c:pt idx="28">
                  <c:v>2.1</c:v>
                </c:pt>
                <c:pt idx="29">
                  <c:v>2.4</c:v>
                </c:pt>
                <c:pt idx="30">
                  <c:v>2.06</c:v>
                </c:pt>
                <c:pt idx="31">
                  <c:v>1.6500000000000001</c:v>
                </c:pt>
              </c:numCache>
            </c:numRef>
          </c:val>
        </c:ser>
        <c:dLbls>
          <c:showVal val="1"/>
        </c:dLbls>
        <c:gapWidth val="219"/>
        <c:overlap val="-27"/>
        <c:axId val="92105344"/>
        <c:axId val="92500352"/>
      </c:barChart>
      <c:catAx>
        <c:axId val="9210534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2500352"/>
        <c:crosses val="autoZero"/>
        <c:auto val="1"/>
        <c:lblAlgn val="ctr"/>
        <c:lblOffset val="100"/>
      </c:catAx>
      <c:valAx>
        <c:axId val="925003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2105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Průměrný prospěch v 2.pololetí 2023-2024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Průměrný prospěch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1">
                  <c:v>3.8</c:v>
                </c:pt>
                <c:pt idx="2">
                  <c:v>3.24</c:v>
                </c:pt>
                <c:pt idx="4" formatCode="0.00">
                  <c:v>2.1800000000000002</c:v>
                </c:pt>
                <c:pt idx="5" formatCode="0.00">
                  <c:v>2.2200000000000002</c:v>
                </c:pt>
                <c:pt idx="6" formatCode="0.00">
                  <c:v>3.3699999999999997</c:v>
                </c:pt>
                <c:pt idx="7" formatCode="0.00">
                  <c:v>2.9</c:v>
                </c:pt>
                <c:pt idx="8" formatCode="0.00">
                  <c:v>2.48</c:v>
                </c:pt>
                <c:pt idx="9" formatCode="0.00">
                  <c:v>2.5499999999999998</c:v>
                </c:pt>
                <c:pt idx="10" formatCode="0.00">
                  <c:v>3.3</c:v>
                </c:pt>
                <c:pt idx="11" formatCode="0.00">
                  <c:v>2.13</c:v>
                </c:pt>
                <c:pt idx="12" formatCode="0.00">
                  <c:v>0</c:v>
                </c:pt>
                <c:pt idx="13" formatCode="0.00">
                  <c:v>2.0499999999999998</c:v>
                </c:pt>
                <c:pt idx="14" formatCode="0.00">
                  <c:v>2.11</c:v>
                </c:pt>
                <c:pt idx="15" formatCode="0.00">
                  <c:v>1.86</c:v>
                </c:pt>
                <c:pt idx="16" formatCode="0.00">
                  <c:v>2.09</c:v>
                </c:pt>
                <c:pt idx="17" formatCode="0.00">
                  <c:v>2.4</c:v>
                </c:pt>
                <c:pt idx="18" formatCode="0.00">
                  <c:v>2.1</c:v>
                </c:pt>
                <c:pt idx="19" formatCode="0.00">
                  <c:v>1.85</c:v>
                </c:pt>
                <c:pt idx="20" formatCode="0.00">
                  <c:v>1.6600000000000001</c:v>
                </c:pt>
                <c:pt idx="21" formatCode="0.00">
                  <c:v>2.56</c:v>
                </c:pt>
                <c:pt idx="22" formatCode="0.00">
                  <c:v>2.65</c:v>
                </c:pt>
                <c:pt idx="23" formatCode="0.00">
                  <c:v>1.22</c:v>
                </c:pt>
                <c:pt idx="24" formatCode="0.00">
                  <c:v>2.8299999999999996</c:v>
                </c:pt>
                <c:pt idx="25" formatCode="0.00">
                  <c:v>2.69</c:v>
                </c:pt>
                <c:pt idx="26" formatCode="0.00">
                  <c:v>3.75</c:v>
                </c:pt>
                <c:pt idx="27" formatCode="0.00">
                  <c:v>3.8499999999999996</c:v>
                </c:pt>
                <c:pt idx="28" formatCode="0.00">
                  <c:v>2</c:v>
                </c:pt>
                <c:pt idx="29" formatCode="0.00">
                  <c:v>2.5</c:v>
                </c:pt>
                <c:pt idx="30" formatCode="0.00">
                  <c:v>2.0299999999999998</c:v>
                </c:pt>
                <c:pt idx="31" formatCode="0.00">
                  <c:v>1.73</c:v>
                </c:pt>
              </c:numCache>
            </c:numRef>
          </c:val>
        </c:ser>
        <c:dLbls>
          <c:showVal val="1"/>
        </c:dLbls>
        <c:gapWidth val="219"/>
        <c:overlap val="-27"/>
        <c:axId val="91857280"/>
        <c:axId val="91858816"/>
      </c:barChart>
      <c:catAx>
        <c:axId val="9185728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1858816"/>
        <c:crosses val="autoZero"/>
        <c:auto val="1"/>
        <c:lblAlgn val="ctr"/>
        <c:lblOffset val="100"/>
      </c:catAx>
      <c:valAx>
        <c:axId val="918588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18572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8</cp:revision>
  <dcterms:created xsi:type="dcterms:W3CDTF">2021-10-05T05:39:00Z</dcterms:created>
  <dcterms:modified xsi:type="dcterms:W3CDTF">2024-10-08T06:03:00Z</dcterms:modified>
</cp:coreProperties>
</file>