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08" w:rsidRDefault="00C76263">
      <w:r>
        <w:rPr>
          <w:noProof/>
          <w:lang w:eastAsia="cs-CZ"/>
        </w:rPr>
        <w:drawing>
          <wp:inline distT="0" distB="0" distL="0" distR="0">
            <wp:extent cx="8923655" cy="5892800"/>
            <wp:effectExtent l="19050" t="0" r="1079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4F2575" w:rsidRDefault="004F2575" w:rsidP="004F2575">
      <w:r>
        <w:rPr>
          <w:noProof/>
          <w:lang w:eastAsia="cs-CZ"/>
        </w:rPr>
        <w:lastRenderedPageBreak/>
        <w:drawing>
          <wp:inline distT="0" distB="0" distL="0" distR="0">
            <wp:extent cx="8923655" cy="5892800"/>
            <wp:effectExtent l="19050" t="0" r="10795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F2575" w:rsidSect="00C762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/>
  <w:rsids>
    <w:rsidRoot w:val="00C76263"/>
    <w:rsid w:val="00076696"/>
    <w:rsid w:val="00134F13"/>
    <w:rsid w:val="00136D4E"/>
    <w:rsid w:val="00261407"/>
    <w:rsid w:val="002706B8"/>
    <w:rsid w:val="00321D62"/>
    <w:rsid w:val="00456AB0"/>
    <w:rsid w:val="004F2575"/>
    <w:rsid w:val="005275C2"/>
    <w:rsid w:val="006B43F8"/>
    <w:rsid w:val="007673A5"/>
    <w:rsid w:val="007D7051"/>
    <w:rsid w:val="009C536F"/>
    <w:rsid w:val="009E5608"/>
    <w:rsid w:val="00A36CFD"/>
    <w:rsid w:val="00B37F31"/>
    <w:rsid w:val="00B46000"/>
    <w:rsid w:val="00BA2B42"/>
    <w:rsid w:val="00BE58E0"/>
    <w:rsid w:val="00C53DF2"/>
    <w:rsid w:val="00C76263"/>
    <w:rsid w:val="00D179A0"/>
    <w:rsid w:val="00D955A2"/>
    <w:rsid w:val="00F14852"/>
    <w:rsid w:val="00F230B5"/>
    <w:rsid w:val="00FC6C3C"/>
    <w:rsid w:val="00FE6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D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C6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6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List_aplikac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Absence v</a:t>
            </a:r>
            <a:r>
              <a:rPr lang="cs-CZ" baseline="0"/>
              <a:t> 1.pololetí 2024-2025</a:t>
            </a:r>
            <a:endParaRPr lang="cs-CZ"/>
          </a:p>
        </c:rich>
      </c:tx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List1!$B$2:$B$33</c:f>
              <c:numCache>
                <c:formatCode>General</c:formatCode>
                <c:ptCount val="32"/>
                <c:pt idx="2">
                  <c:v>416</c:v>
                </c:pt>
                <c:pt idx="3">
                  <c:v>823</c:v>
                </c:pt>
                <c:pt idx="4">
                  <c:v>137</c:v>
                </c:pt>
                <c:pt idx="5">
                  <c:v>129</c:v>
                </c:pt>
                <c:pt idx="6">
                  <c:v>105</c:v>
                </c:pt>
                <c:pt idx="7">
                  <c:v>248</c:v>
                </c:pt>
                <c:pt idx="8">
                  <c:v>298</c:v>
                </c:pt>
                <c:pt idx="9">
                  <c:v>213</c:v>
                </c:pt>
                <c:pt idx="10">
                  <c:v>1273</c:v>
                </c:pt>
                <c:pt idx="11">
                  <c:v>284</c:v>
                </c:pt>
                <c:pt idx="12">
                  <c:v>366</c:v>
                </c:pt>
                <c:pt idx="13">
                  <c:v>79</c:v>
                </c:pt>
                <c:pt idx="14">
                  <c:v>130</c:v>
                </c:pt>
                <c:pt idx="15">
                  <c:v>707</c:v>
                </c:pt>
                <c:pt idx="16">
                  <c:v>1280</c:v>
                </c:pt>
                <c:pt idx="17">
                  <c:v>401</c:v>
                </c:pt>
                <c:pt idx="18">
                  <c:v>312</c:v>
                </c:pt>
                <c:pt idx="19">
                  <c:v>207</c:v>
                </c:pt>
                <c:pt idx="20">
                  <c:v>745</c:v>
                </c:pt>
                <c:pt idx="21">
                  <c:v>453</c:v>
                </c:pt>
                <c:pt idx="22">
                  <c:v>334</c:v>
                </c:pt>
                <c:pt idx="23">
                  <c:v>898</c:v>
                </c:pt>
                <c:pt idx="24">
                  <c:v>174</c:v>
                </c:pt>
                <c:pt idx="25">
                  <c:v>501</c:v>
                </c:pt>
                <c:pt idx="26">
                  <c:v>981</c:v>
                </c:pt>
                <c:pt idx="27">
                  <c:v>474</c:v>
                </c:pt>
                <c:pt idx="28">
                  <c:v>602</c:v>
                </c:pt>
                <c:pt idx="29">
                  <c:v>302</c:v>
                </c:pt>
                <c:pt idx="30">
                  <c:v>503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neomluvená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List1!$C$2:$C$33</c:f>
              <c:numCache>
                <c:formatCode>General</c:formatCode>
                <c:ptCount val="32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69</c:v>
                </c:pt>
                <c:pt idx="7">
                  <c:v>193</c:v>
                </c:pt>
                <c:pt idx="8">
                  <c:v>0</c:v>
                </c:pt>
                <c:pt idx="9">
                  <c:v>0</c:v>
                </c:pt>
                <c:pt idx="10">
                  <c:v>216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List1!$A$2:$A$33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List1!$D$2:$D$33</c:f>
              <c:numCache>
                <c:formatCode>General</c:formatCode>
                <c:ptCount val="32"/>
              </c:numCache>
            </c:numRef>
          </c:val>
        </c:ser>
        <c:dLbls>
          <c:showVal val="1"/>
        </c:dLbls>
        <c:gapWidth val="219"/>
        <c:overlap val="-27"/>
        <c:axId val="71648768"/>
        <c:axId val="71650304"/>
      </c:barChart>
      <c:catAx>
        <c:axId val="7164876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1650304"/>
        <c:crosses val="autoZero"/>
        <c:auto val="1"/>
        <c:lblAlgn val="ctr"/>
        <c:lblOffset val="100"/>
      </c:catAx>
      <c:valAx>
        <c:axId val="7165030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16487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Absence v</a:t>
            </a:r>
            <a:r>
              <a:rPr lang="cs-CZ" baseline="0"/>
              <a:t> 2.pololetí 2024-2025</a:t>
            </a:r>
            <a:endParaRPr lang="cs-CZ"/>
          </a:p>
        </c:rich>
      </c:tx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4.4245547368202763E-2"/>
          <c:y val="7.7780172413793119E-2"/>
          <c:w val="0.93725306502772621"/>
          <c:h val="0.8207685650285097"/>
        </c:manualLayout>
      </c:layout>
      <c:barChart>
        <c:barDir val="col"/>
        <c:grouping val="clustered"/>
        <c:ser>
          <c:idx val="0"/>
          <c:order val="0"/>
          <c:tx>
            <c:strRef>
              <c:f>List1!$B$1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List1!$B$2:$B$32</c:f>
              <c:numCache>
                <c:formatCode>General</c:formatCode>
                <c:ptCount val="31"/>
                <c:pt idx="2">
                  <c:v>1186</c:v>
                </c:pt>
                <c:pt idx="3">
                  <c:v>1355</c:v>
                </c:pt>
                <c:pt idx="4">
                  <c:v>217</c:v>
                </c:pt>
                <c:pt idx="5">
                  <c:v>30</c:v>
                </c:pt>
                <c:pt idx="6">
                  <c:v>221</c:v>
                </c:pt>
                <c:pt idx="7">
                  <c:v>54</c:v>
                </c:pt>
                <c:pt idx="8">
                  <c:v>419</c:v>
                </c:pt>
                <c:pt idx="9">
                  <c:v>106</c:v>
                </c:pt>
                <c:pt idx="10">
                  <c:v>991</c:v>
                </c:pt>
                <c:pt idx="11">
                  <c:v>568</c:v>
                </c:pt>
                <c:pt idx="12">
                  <c:v>717</c:v>
                </c:pt>
                <c:pt idx="13">
                  <c:v>282</c:v>
                </c:pt>
                <c:pt idx="14">
                  <c:v>987</c:v>
                </c:pt>
                <c:pt idx="15">
                  <c:v>1233</c:v>
                </c:pt>
                <c:pt idx="16">
                  <c:v>1224</c:v>
                </c:pt>
                <c:pt idx="17">
                  <c:v>794</c:v>
                </c:pt>
                <c:pt idx="18">
                  <c:v>188</c:v>
                </c:pt>
                <c:pt idx="19">
                  <c:v>487</c:v>
                </c:pt>
                <c:pt idx="20">
                  <c:v>466</c:v>
                </c:pt>
                <c:pt idx="21">
                  <c:v>495</c:v>
                </c:pt>
                <c:pt idx="22">
                  <c:v>706</c:v>
                </c:pt>
                <c:pt idx="23">
                  <c:v>814</c:v>
                </c:pt>
                <c:pt idx="24">
                  <c:v>328</c:v>
                </c:pt>
                <c:pt idx="25">
                  <c:v>672</c:v>
                </c:pt>
                <c:pt idx="26">
                  <c:v>1527</c:v>
                </c:pt>
                <c:pt idx="27">
                  <c:v>960</c:v>
                </c:pt>
                <c:pt idx="28">
                  <c:v>1035</c:v>
                </c:pt>
                <c:pt idx="29">
                  <c:v>661</c:v>
                </c:pt>
                <c:pt idx="30">
                  <c:v>782</c:v>
                </c:pt>
              </c:numCache>
            </c:numRef>
          </c:val>
        </c:ser>
        <c:ser>
          <c:idx val="1"/>
          <c:order val="1"/>
          <c:tx>
            <c:strRef>
              <c:f>List1!$C$1</c:f>
              <c:strCache>
                <c:ptCount val="1"/>
                <c:pt idx="0">
                  <c:v>neomluvená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List1!$C$2:$C$32</c:f>
              <c:numCache>
                <c:formatCode>General</c:formatCode>
                <c:ptCount val="31"/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  <c:pt idx="8">
                  <c:v>22</c:v>
                </c:pt>
                <c:pt idx="9">
                  <c:v>0</c:v>
                </c:pt>
                <c:pt idx="10">
                  <c:v>142</c:v>
                </c:pt>
                <c:pt idx="11">
                  <c:v>0</c:v>
                </c:pt>
                <c:pt idx="12">
                  <c:v>212</c:v>
                </c:pt>
                <c:pt idx="13">
                  <c:v>0</c:v>
                </c:pt>
                <c:pt idx="14">
                  <c:v>195</c:v>
                </c:pt>
                <c:pt idx="15">
                  <c:v>0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  <c:pt idx="21">
                  <c:v>96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  <c:pt idx="30">
                  <c:v>0</c:v>
                </c:pt>
              </c:numCache>
            </c:numRef>
          </c:val>
        </c:ser>
        <c:ser>
          <c:idx val="2"/>
          <c:order val="2"/>
          <c:tx>
            <c:strRef>
              <c:f>List1!$D$1</c:f>
              <c:strCache>
                <c:ptCount val="1"/>
                <c:pt idx="0">
                  <c:v>Sloupec1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List1!$A$2:$A$32</c:f>
              <c:strCache>
                <c:ptCount val="31"/>
                <c:pt idx="2">
                  <c:v>K3</c:v>
                </c:pt>
                <c:pt idx="3">
                  <c:v>O3</c:v>
                </c:pt>
                <c:pt idx="4">
                  <c:v>SP1</c:v>
                </c:pt>
                <c:pt idx="5">
                  <c:v>SP2</c:v>
                </c:pt>
                <c:pt idx="6">
                  <c:v>SP3</c:v>
                </c:pt>
                <c:pt idx="7">
                  <c:v>ZP1</c:v>
                </c:pt>
                <c:pt idx="8">
                  <c:v>ZP2</c:v>
                </c:pt>
                <c:pt idx="9">
                  <c:v>ZP3</c:v>
                </c:pt>
                <c:pt idx="10">
                  <c:v>ML1</c:v>
                </c:pt>
                <c:pt idx="11">
                  <c:v>ML2</c:v>
                </c:pt>
                <c:pt idx="12">
                  <c:v>TČ1</c:v>
                </c:pt>
                <c:pt idx="13">
                  <c:v>TČ2</c:v>
                </c:pt>
                <c:pt idx="14">
                  <c:v>TČ3</c:v>
                </c:pt>
                <c:pt idx="15">
                  <c:v>S1</c:v>
                </c:pt>
                <c:pt idx="16">
                  <c:v>S2</c:v>
                </c:pt>
                <c:pt idx="17">
                  <c:v>S3</c:v>
                </c:pt>
                <c:pt idx="18">
                  <c:v>PS1</c:v>
                </c:pt>
                <c:pt idx="19">
                  <c:v>PS2</c:v>
                </c:pt>
                <c:pt idx="20">
                  <c:v>PS3</c:v>
                </c:pt>
                <c:pt idx="21">
                  <c:v>ZV1</c:v>
                </c:pt>
                <c:pt idx="22">
                  <c:v>ZV2</c:v>
                </c:pt>
                <c:pt idx="23">
                  <c:v>PRS1</c:v>
                </c:pt>
                <c:pt idx="24">
                  <c:v>PRS2</c:v>
                </c:pt>
                <c:pt idx="25">
                  <c:v>PJMA</c:v>
                </c:pt>
                <c:pt idx="26">
                  <c:v>PJMB</c:v>
                </c:pt>
                <c:pt idx="27">
                  <c:v>PD1P</c:v>
                </c:pt>
                <c:pt idx="28">
                  <c:v>PD1T</c:v>
                </c:pt>
                <c:pt idx="29">
                  <c:v>PD2P</c:v>
                </c:pt>
                <c:pt idx="30">
                  <c:v>PD2T</c:v>
                </c:pt>
              </c:strCache>
            </c:strRef>
          </c:cat>
          <c:val>
            <c:numRef>
              <c:f>List1!$D$2:$D$32</c:f>
              <c:numCache>
                <c:formatCode>General</c:formatCode>
                <c:ptCount val="31"/>
              </c:numCache>
            </c:numRef>
          </c:val>
        </c:ser>
        <c:dLbls>
          <c:showVal val="1"/>
        </c:dLbls>
        <c:gapWidth val="219"/>
        <c:overlap val="-27"/>
        <c:axId val="71599616"/>
        <c:axId val="71601152"/>
      </c:barChart>
      <c:catAx>
        <c:axId val="715996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1601152"/>
        <c:crosses val="autoZero"/>
        <c:auto val="1"/>
        <c:lblAlgn val="ctr"/>
        <c:lblOffset val="100"/>
      </c:catAx>
      <c:valAx>
        <c:axId val="716011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15996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/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7F2C3-B242-4E60-8937-8745775C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Vladislav Vyvážil</dc:creator>
  <cp:lastModifiedBy>vladislav.vyvazil</cp:lastModifiedBy>
  <cp:revision>10</cp:revision>
  <dcterms:created xsi:type="dcterms:W3CDTF">2021-10-05T05:40:00Z</dcterms:created>
  <dcterms:modified xsi:type="dcterms:W3CDTF">2025-09-29T10:21:00Z</dcterms:modified>
</cp:coreProperties>
</file>